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§1331. Court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Court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§1331. COURT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