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§1440. Deposit with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Deposit with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§1440. DEPOSIT WITH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