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Corporate name.</w:t>
        <w:t xml:space="preserve"> </w:t>
      </w:r>
      <w:r>
        <w:t xml:space="preserve"> </w:t>
      </w:r>
      <w:r>
        <w:t xml:space="preserve">If the corporate name of a foreign corporation does not satisfy the requirements of </w:t>
      </w:r>
      <w:r>
        <w:t>section 401</w:t>
      </w:r>
      <w:r>
        <w:t xml:space="preserve">, the foreign corporation may use a fictitious name as set forth in </w:t>
      </w:r>
      <w:r>
        <w:t>section 404, subsection 2</w:t>
      </w:r>
      <w:r>
        <w:t xml:space="preserve"> to transact business in this State if its real name is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§123 (AMD).]</w:t>
      </w:r>
    </w:p>
    <w:p>
      <w:pPr>
        <w:jc w:val="both"/>
        <w:spacing w:before="100" w:after="0"/>
        <w:ind w:start="360"/>
        <w:ind w:firstLine="360"/>
      </w:pPr>
      <w:r>
        <w:rPr>
          <w:b/>
        </w:rPr>
        <w:t>2</w:t>
        <w:t xml:space="preserve">.  </w:t>
      </w:r>
      <w:r>
        <w:rPr>
          <w:b/>
        </w:rPr>
        <w:t xml:space="preserve">Name distinguishable.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3</w:t>
        <w:t xml:space="preserve">.  </w:t>
      </w:r>
      <w:r>
        <w:rPr>
          <w:b/>
        </w:rPr>
        <w:t xml:space="preserve">Apply for authorization to use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4</w:t>
        <w:t xml:space="preserve">.  </w:t>
      </w:r>
      <w:r>
        <w:rPr>
          <w:b/>
        </w:rPr>
        <w:t xml:space="preserve">Use of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5</w:t>
        <w:t xml:space="preserve">.  </w:t>
      </w:r>
      <w:r>
        <w:rPr>
          <w:b/>
        </w:rPr>
        <w:t xml:space="preserve">Change of 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§§B123,124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Corporate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Corporate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§1506. CORPORATE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