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Emergency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Emergency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§303. EMERGENCY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