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§625. Share options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Share options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§625. SHARE OPTIONS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