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§628. Restriction on transfer of shares and other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Restriction on transfer of shares and other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§628. RESTRICTION ON TRANSFER OF SHARES AND OTHER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