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DISSOLUTION AND TERMINATION</w:t>
      </w:r>
    </w:p>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DISSOLUTION AND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DISSOLUTION AND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17. DISSOLUTION AND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