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Persons aggrieved; remedy</w:t>
      </w:r>
    </w:p>
    <w:p>
      <w:pPr>
        <w:jc w:val="both"/>
        <w:spacing w:before="100" w:after="100"/>
        <w:ind w:start="360"/>
        <w:ind w:firstLine="360"/>
      </w:pPr>
      <w:r>
        <w:rPr/>
      </w:r>
      <w:r>
        <w:rPr/>
      </w:r>
      <w:r>
        <w:t xml:space="preserve">Any person aggrieved by the amount of damages awarded may have them determined by written complaint to the Superior Court in the manner provided respecting damages for the establishment of town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§1184. Persons aggrieved;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Persons aggrieved;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§1184. PERSONS AGGRIEVED;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