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§1262. Bylaws and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Bylaws and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§1262. BYLAWS AND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