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1757</w:t>
        <w:t xml:space="preserve">.  </w:t>
      </w:r>
      <w:r>
        <w:rPr>
          <w:b/>
        </w:rPr>
        <w:t xml:space="preserve">Consumer protection; enforcement</w:t>
      </w:r>
    </w:p>
    <w:p>
      <w:pPr>
        <w:jc w:val="both"/>
        <w:spacing w:before="100" w:after="100"/>
        <w:ind w:start="360"/>
        <w:ind w:firstLine="360"/>
      </w:pPr>
      <w:r>
        <w:rPr/>
      </w:r>
      <w:r>
        <w:rPr/>
      </w:r>
      <w:r>
        <w:t xml:space="preserve">Failure or neglect to provide to purchasers the documents and disclosures required by </w:t>
      </w:r>
      <w:r>
        <w:t>section 1756</w:t>
      </w:r>
      <w:r>
        <w:t xml:space="preserve"> is considered a violation of </w:t>
      </w:r>
      <w:r>
        <w:t>Title 10, chapter 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§1757. Consumer protection;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§1757. Consumer protection;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§1757. CONSUMER PROTECTION;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