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Nonprofit associations</w:t>
      </w:r>
    </w:p>
    <w:p>
      <w:pPr>
        <w:jc w:val="both"/>
        <w:spacing w:before="100" w:after="100"/>
        <w:ind w:start="360"/>
        <w:ind w:firstLine="360"/>
      </w:pPr>
      <w:r>
        <w:rPr/>
      </w:r>
      <w:r>
        <w:rPr/>
      </w:r>
      <w:r>
        <w:t xml:space="preserve">An association is deemed "nonprofit," as the association is not organized to make a profit for that association or for its members, but only for its members as producers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1993, c. 316,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§1781. Nonprofit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Nonprofit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§1781. NONPROFIT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