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RECORDS</w:t>
      </w:r>
    </w:p>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