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761</w:t>
      </w:r>
    </w:p>
    <w:p>
      <w:pPr>
        <w:jc w:val="center"/>
        <w:ind w:start="360"/>
        <w:spacing w:before="300" w:after="300"/>
      </w:pPr>
      <w:r>
        <w:rPr>
          <w:b/>
        </w:rPr>
        <w:t xml:space="preserve">UNIFORM REGISTRATION OF CANADIAN MONEY JUDGMENTS ACT</w:t>
      </w:r>
    </w:p>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8906</w:t>
        <w:t xml:space="preserve">.  </w:t>
      </w:r>
      <w:r>
        <w:rPr>
          <w:b/>
        </w:rPr>
        <w:t xml:space="preserve">Notice of registration</w:t>
      </w:r>
    </w:p>
    <w:p>
      <w:pPr>
        <w:jc w:val="both"/>
        <w:spacing w:before="100" w:after="0"/>
        <w:ind w:start="360"/>
        <w:ind w:firstLine="360"/>
      </w:pPr>
      <w:r>
        <w:rPr>
          <w:b/>
        </w:rPr>
        <w:t>1</w:t>
        <w:t xml:space="preserve">.  </w:t>
      </w:r>
      <w:r>
        <w:rPr>
          <w:b/>
        </w:rPr>
        <w:t xml:space="preserve">Notice served on person against whom judgment registered.</w:t>
        <w:t xml:space="preserve"> </w:t>
      </w:r>
      <w:r>
        <w:t xml:space="preserve"> </w:t>
      </w:r>
      <w:r>
        <w:t xml:space="preserve">A person that registers a Canadian judgment under </w:t>
      </w:r>
      <w:r>
        <w:t>section 8904</w:t>
      </w:r>
      <w:r>
        <w:t xml:space="preserve"> shall cause notice of registration to be served, in the same manner that a summons and complaint must be served pursuant to the Maine Rules of Civil Procedure, on the person against whom the judgment has been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Notice under this section must include:</w:t>
      </w:r>
    </w:p>
    <w:p>
      <w:pPr>
        <w:jc w:val="both"/>
        <w:spacing w:before="100" w:after="0"/>
        <w:ind w:start="720"/>
      </w:pPr>
      <w:r>
        <w:rPr/>
        <w:t>A</w:t>
        <w:t xml:space="preserve">.  </w:t>
      </w:r>
      <w:r>
        <w:rPr/>
      </w:r>
      <w:r>
        <w:t xml:space="preserve">The date of registration and court in which the judgment was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docket number assigned to the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The name and address of:</w:t>
      </w:r>
    </w:p>
    <w:p>
      <w:pPr>
        <w:jc w:val="both"/>
        <w:spacing w:before="100" w:after="0"/>
        <w:ind w:start="1080"/>
      </w:pPr>
      <w:r>
        <w:rPr/>
        <w:t>(</w:t>
        <w:t>1</w:t>
        <w:t xml:space="preserve">)  </w:t>
      </w:r>
      <w:r>
        <w:rPr/>
      </w:r>
      <w:r>
        <w:t xml:space="preserve">The person registering the judgment; and</w:t>
      </w:r>
    </w:p>
    <w:p>
      <w:pPr>
        <w:jc w:val="both"/>
        <w:spacing w:before="100" w:after="0"/>
        <w:ind w:start="1080"/>
      </w:pPr>
      <w:r>
        <w:rPr/>
        <w:t>(</w:t>
        <w:t>2</w:t>
        <w:t xml:space="preserve">)  </w:t>
      </w:r>
      <w:r>
        <w:rPr/>
      </w:r>
      <w:r>
        <w:t xml:space="preserve">The person's attorney, if any;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A copy of the registration, including the documents required under </w:t>
      </w:r>
      <w:r>
        <w:t>section 8904,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A statement that:</w:t>
      </w:r>
    </w:p>
    <w:p>
      <w:pPr>
        <w:jc w:val="both"/>
        <w:spacing w:before="100" w:after="0"/>
        <w:ind w:start="1080"/>
      </w:pPr>
      <w:r>
        <w:rPr/>
        <w:t>(</w:t>
        <w:t>1</w:t>
        <w:t xml:space="preserve">)  </w:t>
      </w:r>
      <w:r>
        <w:rPr/>
      </w:r>
      <w:r>
        <w:t xml:space="preserve">The person against whom the judgment has been registered may, not later than 30 days after the date of service of notice, file a motion with the court to vacate the registration; and</w:t>
      </w:r>
    </w:p>
    <w:p>
      <w:pPr>
        <w:jc w:val="both"/>
        <w:spacing w:before="100" w:after="0"/>
        <w:ind w:start="1080"/>
      </w:pPr>
      <w:r>
        <w:rPr/>
        <w:t>(</w:t>
        <w:t>2</w:t>
        <w:t xml:space="preserve">)  </w:t>
      </w:r>
      <w:r>
        <w:rPr/>
      </w:r>
      <w:r>
        <w:t xml:space="preserve">The court for cause may provide for a shorter or longer time.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Proof of service.</w:t>
        <w:t xml:space="preserve"> </w:t>
      </w:r>
      <w:r>
        <w:t xml:space="preserve"> </w:t>
      </w:r>
      <w:r>
        <w:t xml:space="preserve">Proof of service of notice under this section must be filed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761. UNIFORM REGISTRATION OF CANADIAN MONEY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761. UNIFORM REGISTRATION OF CANADIAN MONEY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761. UNIFORM REGISTRATION OF CANADIAN MONEY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