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Actions by unincorporated societies</w:t>
      </w:r>
    </w:p>
    <w:p>
      <w:pPr>
        <w:jc w:val="both"/>
        <w:spacing w:before="100" w:after="100"/>
        <w:ind w:start="360"/>
        <w:ind w:firstLine="360"/>
      </w:pPr>
      <w:r>
        <w:rPr/>
      </w:r>
      <w:r>
        <w:rPr/>
      </w:r>
      <w:r>
        <w:t xml:space="preserve">Any organized unincorporated society or association may sue in the name of its trustees for the time being and may maintain an action, though the defendant or defendants or some of them are members of the same society or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Actions by unincorporated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Actions by unincorporated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 ACTIONS BY UNINCORPORATED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