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2021</w:t>
        <w:t xml:space="preserve">.  </w:t>
      </w:r>
      <w:r>
        <w:rPr>
          <w:b/>
        </w:rPr>
        <w:t xml:space="preserve">Assignee may bring action in own name</w:t>
      </w:r>
    </w:p>
    <w:p>
      <w:pPr>
        <w:jc w:val="both"/>
        <w:spacing w:before="100" w:after="100"/>
        <w:ind w:start="360"/>
        <w:ind w:firstLine="360"/>
      </w:pPr>
      <w:r>
        <w:rPr/>
      </w:r>
      <w:r>
        <w:rPr/>
      </w:r>
      <w:r>
        <w:t xml:space="preserve">In all cases where a judgment has been assigned as provided for in </w:t>
      </w:r>
      <w:r>
        <w:t>section 2020</w:t>
      </w:r>
      <w:r>
        <w:t xml:space="preserve"> and is not discharged, the assignee may bring a civil action thereon in his own name. Upon averment and proof of the facts aforesaid, the court may render judgment and execution thereon in his favor, subject to any legal defense which the debtor might have if the action were instituted by the original creditor.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§2021. Assignee may bring action in own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§2021. Assignee may bring action in own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§2021. ASSIGNEE MAY BRING ACTION IN OWN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