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Execution sale of railroad franchises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Execution sale of railroad franchises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§2301. EXECUTION SALE OF RAILROAD FRANCHISES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