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Examination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Examination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§2707. EXAMINATION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