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§2752. PLAINTIFF'S RIGHTS IN CASE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