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§2857. Remedy on bond where executor or administrator fails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Remedy on bond where executor or administrator fails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§2857. REMEDY ON BOND WHERE EXECUTOR OR ADMINISTRATOR FAILS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