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Discontinuance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§2901. DISCONTINUANCE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