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Judgment against trustee where no examination</w:t>
      </w:r>
    </w:p>
    <w:p>
      <w:pPr>
        <w:jc w:val="both"/>
        <w:spacing w:before="100" w:after="100"/>
        <w:ind w:start="360"/>
        <w:ind w:firstLine="360"/>
      </w:pPr>
      <w:r>
        <w:rPr/>
      </w:r>
      <w:r>
        <w:rPr/>
      </w:r>
      <w:r>
        <w:t xml:space="preserve">After notice of a motion under </w:t>
      </w:r>
      <w:r>
        <w:t>section 2951</w:t>
      </w:r>
      <w:r>
        <w:t xml:space="preserve"> has been served, if the person neglects to appear and answer to the motion, that person must be defaulted and adjudged trustee to the extent that the person holds goods, effects or credits of the principal defendant otherwise available to satisfy the unsatisfied portion of final judgment.  Nothing in this section limits the additional remedies available under this chapter for the trustee's failure to disclose, including the assessment of costs under </w:t>
      </w:r>
      <w:r>
        <w:t>section 3102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§2952. Judgment against trustee where no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Judgment against trustee where no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§2952. JUDGMENT AGAINST TRUSTEE WHERE NO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