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§3124. SUCCESSIVE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