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§3126-A. Installment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§3126-A. Installment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§3126-A. INSTALLMENT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