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§3128-A. Order to seek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§3128-A. Order to seek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§3128-A. ORDER TO SEEK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