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Subsequent attachments</w:t>
      </w:r>
    </w:p>
    <w:p>
      <w:pPr>
        <w:jc w:val="both"/>
        <w:spacing w:before="100" w:after="100"/>
        <w:ind w:start="360"/>
        <w:ind w:firstLine="360"/>
      </w:pPr>
      <w:r>
        <w:rPr/>
      </w:r>
      <w:r>
        <w:rPr/>
      </w:r>
      <w:r>
        <w:t xml:space="preserve">After service of the summons and complaint upon the defendant, the court on motion without notice may for cause shown order an additional attachment of real estate, goods and chattels on other property.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§4102. Subsequent attachments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Subsequent attachments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§4102. SUBSEQUENT ATTACHMENTS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