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Property of part owners; attachment;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Property of part owners; attachment;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§4301. PROPERTY OF PART OWNERS; ATTACHMENT;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