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Payment; part owner's lien; attachment dissolved</w:t>
      </w:r>
    </w:p>
    <w:p>
      <w:pPr>
        <w:jc w:val="both"/>
        <w:spacing w:before="100" w:after="100"/>
        <w:ind w:start="360"/>
        <w:ind w:firstLine="360"/>
      </w:pPr>
      <w:r>
        <w:rPr/>
      </w:r>
      <w:r>
        <w:rPr/>
      </w:r>
      <w:r>
        <w:t xml:space="preserve">If any part of such appraised value is so paid, the defendant's share of the property is thereby pledged to the party paying. If not redeemed, he may sell it and account to the defendant for the balance, if any. If the attachment is dissolved, he shall restore such share to the defendant or to the attaching officer for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§4302. Payment; part owner's lien; attachment dissolved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Payment; part owner's lien; attachment dissolved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§4302. PAYMENT; PART OWNER'S LIEN; ATTACHMENT DISSOLVED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