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Sale of attached personal property</w:t>
      </w:r>
    </w:p>
    <w:p>
      <w:pPr>
        <w:jc w:val="both"/>
        <w:spacing w:before="100" w:after="100"/>
        <w:ind w:start="360"/>
        <w:ind w:firstLine="360"/>
      </w:pPr>
      <w:r>
        <w:rPr/>
      </w:r>
      <w:r>
        <w:rPr/>
      </w:r>
      <w:r>
        <w:t xml:space="preserve">When personal property is attached, the officer, by consent of the debtor and creditor, may sell it on the writ of attachment before or after filing in court, observing the directions for selling on execution. If it is attached by different officers, it may be so sold by the first attaching officer; or in case of his death, if he was a deputy sheriff, by the sheriff or another deputy by written consent of the debtor and all attaching creditors. The proceeds, after deducting necessary expenses, shall be held by the officer making the sale, subject to the successive attachments as if sold on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§4351. Sale of attached personal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Sale of attached personal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§4351. SALE OF ATTACHED PERSONAL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