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Real estate and interests subject to attachment</w:t>
      </w:r>
    </w:p>
    <w:p>
      <w:pPr>
        <w:jc w:val="both"/>
        <w:spacing w:before="100" w:after="100"/>
        <w:ind w:start="360"/>
        <w:ind w:firstLine="360"/>
      </w:pPr>
      <w:r>
        <w:rPr/>
      </w:r>
      <w:r>
        <w:rPr/>
      </w:r>
      <w:r>
        <w:t xml:space="preserve">All real estate liable to be taken on execution as provided in </w:t>
      </w:r>
      <w:r>
        <w:t>chapter 403</w:t>
      </w:r>
      <w:r>
        <w:t xml:space="preserve">; the right to cut and carry away grass and timber from land sold by this State or Massachusetts, the soil of which is not sold and all other rights and interests in real estate may be attached on mesne process and held to satisfy the judgment recovered by the plaintiff, but the officers need not enter on or view the estate to make such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Real estate and interests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§4451. REAL ESTATE AND INTERESTS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