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4751</w:t>
        <w:t xml:space="preserve">.  </w:t>
      </w:r>
      <w:r>
        <w:rPr>
          <w:b/>
        </w:rPr>
        <w:t xml:space="preserve">Goods sold on execution</w:t>
      </w:r>
    </w:p>
    <w:p>
      <w:pPr>
        <w:jc w:val="both"/>
        <w:spacing w:before="100" w:after="100"/>
        <w:ind w:start="360"/>
        <w:ind w:firstLine="360"/>
      </w:pPr>
      <w:r>
        <w:rPr/>
      </w:r>
      <w:r>
        <w:rPr/>
      </w:r>
      <w:r>
        <w:t xml:space="preserve">All chattels, real and personal liable at common law to attachment and not exempted therefrom by statute, may be taken and sold on execution as prescribed in this subchapter and </w:t>
      </w:r>
      <w:r>
        <w:t>subchapter 4</w:t>
      </w:r>
      <w:r>
        <w:t xml:space="preserve">. Credits of a sole proprietorship doing business under an assumed or trade name, partnership, limited liability company or corporation, other than payroll accounts expressly so designated to the credit holder by the account owner, may be taken on execution by an officer and turned over to the judgment creditor to be applied to the judgment, together with interest and costs.</w:t>
      </w:r>
      <w:r>
        <w:t xml:space="preserve">  </w:t>
      </w:r>
      <w:r xmlns:wp="http://schemas.openxmlformats.org/drawingml/2010/wordprocessingDrawing" xmlns:w15="http://schemas.microsoft.com/office/word/2012/wordml">
        <w:rPr>
          <w:rFonts w:ascii="Arial" w:hAnsi="Arial" w:cs="Arial"/>
          <w:sz w:val="22"/>
          <w:szCs w:val="22"/>
        </w:rPr>
        <w:t xml:space="preserve">[PL 2007, c. 88, §2 (AMD); PL 2007, c. 466, Pt. B, §19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125, §6 (AMD). PL 1985, c. 187, §5 (AMD). PL 2007, c. 88, §2 (AMD). PL 2007, c. 466, Pt. B, §19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§4751. Goods sold on execution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§4751. Goods sold on execution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§4751. GOODS SOLD ON EXECUTION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