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§4761. WARRANT AGAINST TURNPIKE AND OTHER CORPORATIONS TAKING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