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4852</w:t>
        <w:t xml:space="preserve">.  </w:t>
      </w:r>
      <w:r>
        <w:rPr>
          <w:b/>
        </w:rPr>
        <w:t xml:space="preserve">Mode of sale; possession</w:t>
      </w:r>
    </w:p>
    <w:p>
      <w:pPr>
        <w:jc w:val="both"/>
        <w:spacing w:before="100" w:after="100"/>
        <w:ind w:start="360"/>
        <w:ind w:firstLine="360"/>
      </w:pPr>
      <w:r>
        <w:rPr/>
      </w:r>
      <w:r>
        <w:rPr/>
      </w:r>
      <w:r>
        <w:t xml:space="preserve">In the sale of such franchise, whoever will pay and satisfy such execution, all fees and incidental expenses, in consideration of being entitled to receive to his own use all such toll as the corporation is entitled to receive, for the shortest period of time, is the highest bidder and the purchaser for such period; and immediately after such sale, the officer shall deliver to him possession of the tollhouses and gates, in whatever county situated, and state his doings therein in his return.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§4852. Mode of sale;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§4852. Mode of sale;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§4852. MODE OF SALE;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