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4953</w:t>
        <w:t xml:space="preserve">.  </w:t>
      </w:r>
      <w:r>
        <w:rPr>
          <w:b/>
        </w:rPr>
        <w:t xml:space="preserve">Remedy of owner of property sold</w:t>
      </w:r>
    </w:p>
    <w:p>
      <w:pPr>
        <w:jc w:val="both"/>
        <w:spacing w:before="100" w:after="100"/>
        <w:ind w:start="360"/>
        <w:ind w:firstLine="360"/>
      </w:pPr>
      <w:r>
        <w:rPr/>
      </w:r>
      <w:r>
        <w:rPr/>
      </w:r>
      <w:r>
        <w:t xml:space="preserve">The owner of any real or personal estate so sold may recover against the town, in a civil action, the full value thereof with interest at the rate of 12% yearly, with costs of the action; and may prove and recover the real value thereof, whatever was the price at which it was sold.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§4953. Remedy of owner of property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§4953. Remedy of owner of property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§4953. REMEDY OF OWNER OF PROPERTY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