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Grantee may defend action</w:t>
      </w:r>
    </w:p>
    <w:p>
      <w:pPr>
        <w:jc w:val="both"/>
        <w:spacing w:before="100" w:after="100"/>
        <w:ind w:start="360"/>
        <w:ind w:firstLine="360"/>
      </w:pPr>
      <w:r>
        <w:rPr/>
      </w:r>
      <w:r>
        <w:rPr/>
      </w:r>
      <w:r>
        <w:t xml:space="preserve">Grantees may appear and defend in civil actions against their grantors in which the real estate conveyed is attached.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 Grantee may defend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Grantee may defend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 GRANTEE MAY DEFEND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