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5514</w:t>
        <w:t xml:space="preserve">.  </w:t>
      </w:r>
      <w:r>
        <w:rPr>
          <w:b/>
        </w:rPr>
        <w:t xml:space="preserve">Where writ returnable; entry of judgment</w:t>
      </w:r>
    </w:p>
    <w:p>
      <w:pPr>
        <w:jc w:val="both"/>
        <w:spacing w:before="100" w:after="100"/>
        <w:ind w:start="360"/>
        <w:ind w:firstLine="360"/>
      </w:pPr>
      <w:r>
        <w:rPr/>
      </w:r>
      <w:r>
        <w:rPr/>
      </w:r>
      <w:r>
        <w:t xml:space="preserve">When awarded by a Justice of the Supreme Judicial Court or of the Superior Court, such writ may issue, under his hand and seal or upon his order from any clerk's office in vacation as if issued by the court, and run throughout the State, and may be returnable before the court or before himself or any other justice thereof, and shall be entered upon the docket of the court in the county where returnable, and the judgment shall there be recorded by the clerk.</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§5514. Where writ returnable; entry of judgment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§5514. Where writ returnable; entry of judgment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§5514. WHERE WRIT RETURNABLE; ENTRY OF JUDGMENT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