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§5522. Notice to interested persons before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§5522. NOTICE TO INTERESTED PERSONS BEFORE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