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6016-A</w:t>
        <w:t xml:space="preserve">.  </w:t>
      </w:r>
      <w:r>
        <w:rPr>
          <w:b/>
        </w:rPr>
        <w:t xml:space="preserve">Sexual harassment prohibited; Maine Human Rights Act</w:t>
      </w:r>
    </w:p>
    <w:p>
      <w:pPr>
        <w:jc w:val="both"/>
        <w:spacing w:before="100" w:after="100"/>
        <w:ind w:start="360"/>
        <w:ind w:firstLine="360"/>
      </w:pPr>
      <w:r>
        <w:rPr/>
      </w:r>
      <w:r>
        <w:rPr/>
      </w:r>
      <w:r>
        <w:t xml:space="preserve">A landlord or a landlord's agent may not subject a tenant to sexual harassment.</w:t>
      </w:r>
      <w:r>
        <w:t xml:space="preserve">  </w:t>
      </w:r>
      <w:r xmlns:wp="http://schemas.openxmlformats.org/drawingml/2010/wordprocessingDrawing" xmlns:w15="http://schemas.microsoft.com/office/word/2012/wordml">
        <w:rPr>
          <w:rFonts w:ascii="Arial" w:hAnsi="Arial" w:cs="Arial"/>
          <w:sz w:val="22"/>
          <w:szCs w:val="22"/>
        </w:rPr>
        <w:t xml:space="preserve">[PL 2019, c. 351, §4 (NEW).]</w:t>
      </w:r>
    </w:p>
    <w:p>
      <w:pPr>
        <w:jc w:val="both"/>
        <w:spacing w:before="100" w:after="100"/>
        <w:ind w:start="360"/>
        <w:ind w:firstLine="360"/>
      </w:pPr>
      <w:r>
        <w:rPr/>
      </w:r>
      <w:r>
        <w:rPr/>
      </w:r>
      <w:r>
        <w:t xml:space="preserve">Nothing in this subchapter limits the application of the Maine Human Rights Act.</w:t>
      </w:r>
      <w:r>
        <w:t xml:space="preserve">  </w:t>
      </w:r>
      <w:r xmlns:wp="http://schemas.openxmlformats.org/drawingml/2010/wordprocessingDrawing" xmlns:w15="http://schemas.microsoft.com/office/word/2012/wordml">
        <w:rPr>
          <w:rFonts w:ascii="Arial" w:hAnsi="Arial" w:cs="Arial"/>
          <w:sz w:val="22"/>
          <w:szCs w:val="22"/>
        </w:rPr>
        <w:t xml:space="preserve">[PL 2019, c. 351,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§6016-A. Sexual harassment prohibited; Maine Human Rights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§6016-A. Sexual harassment prohibited; Maine Human Rights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§6016-A. SEXUAL HARASSMENT PROHIBITED; MAINE HUMAN RIGHTS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