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6203-D</w:t>
        <w:t xml:space="preserve">.  </w:t>
      </w:r>
      <w:r>
        <w:rPr>
          <w:b/>
        </w:rPr>
        <w:t xml:space="preserve">Limitation of actions</w:t>
      </w:r>
    </w:p>
    <w:p>
      <w:pPr>
        <w:jc w:val="both"/>
        <w:spacing w:before="100" w:after="100"/>
        <w:ind w:start="360"/>
        <w:ind w:firstLine="360"/>
      </w:pPr>
      <w:r>
        <w:rPr/>
      </w:r>
      <w:r>
        <w:rPr/>
      </w:r>
      <w:r>
        <w:t xml:space="preserve">Actions on mortgage notes, whether witnessed or not, or on other obligations to pay a debt secured by a mortgage of real estate, to recover judgments for deficiencies after foreclosure by sale under a power contained in the mortgage, and actions on such notes or other obligations that are subject to a prior mortgage, to recover the amount due thereon after the foreclosure sale of such prior mortgage under the power contained therein, must, except as otherwise provided, be commenced within 2 years after the date of delivery of the deed to the purchaser or the purchaser's agent or, if the principal of the note or other obligation does not become payable until after the date of delivery of the deed to the purchaser or the purchaser's agent, then within 2 years after the time when the cause of action for the principal accrues.</w:t>
      </w:r>
      <w:r>
        <w:t xml:space="preserve">  </w:t>
      </w:r>
      <w:r xmlns:wp="http://schemas.openxmlformats.org/drawingml/2010/wordprocessingDrawing" xmlns:w15="http://schemas.microsoft.com/office/word/2012/wordml">
        <w:rPr>
          <w:rFonts w:ascii="Arial" w:hAnsi="Arial" w:cs="Arial"/>
          <w:sz w:val="22"/>
          <w:szCs w:val="22"/>
        </w:rPr>
        <w:t xml:space="preserve">[PL 2015,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2015,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§6203-D.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§6203-D.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