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6313</w:t>
        <w:t xml:space="preserve">.  </w:t>
      </w:r>
      <w:r>
        <w:rPr>
          <w:b/>
        </w:rPr>
        <w:t xml:space="preserve">Redemption of estate from purchaser of equity</w:t>
      </w:r>
    </w:p>
    <w:p>
      <w:pPr>
        <w:jc w:val="both"/>
        <w:spacing w:before="100" w:after="100"/>
        <w:ind w:start="360"/>
        <w:ind w:firstLine="360"/>
      </w:pPr>
      <w:r>
        <w:rPr/>
      </w:r>
      <w:r>
        <w:rPr/>
      </w:r>
      <w:r>
        <w:t xml:space="preserve">If the purchaser of an equity of redemption, sold on execution, has satisfied and paid to the mortgagee or those claiming under him the sum due on the mortgage, the mortgagor or those claiming under him, having redeemed the equity of redemption within one year after such sale, may redeem such mortgaged estate from such purchaser or any person claiming under him within the time and in the manner that he might have redeemed it of the mortgagee if there had been no such sale made, and within such time only.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§6313. Redemption of estate from purchaser of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§6313. REDEMPTION OF ESTATE FROM PURCHASER OF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