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6710</w:t>
        <w:t xml:space="preserve">.  </w:t>
      </w:r>
      <w:r>
        <w:rPr>
          <w:b/>
        </w:rPr>
        <w:t xml:space="preserve">View by jury</w:t>
      </w:r>
    </w:p>
    <w:p>
      <w:pPr>
        <w:jc w:val="both"/>
        <w:spacing w:before="100" w:after="100"/>
        <w:ind w:start="360"/>
        <w:ind w:firstLine="360"/>
      </w:pPr>
      <w:r>
        <w:rPr/>
      </w:r>
      <w:r>
        <w:rPr/>
      </w:r>
      <w:r>
        <w:t xml:space="preserve">Either party may have a view by the jury of the place in question, if in the opinion of the court it is necessary to a just decision. The party moving for it shall advance to the jury such sum as the court orders, to be taxed against the adverse party if the cause is decided against him on the merits or through his default.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§6710. View by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§6710. View by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§6710. VIEW BY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