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6712</w:t>
        <w:t xml:space="preserve">.  </w:t>
      </w:r>
      <w:r>
        <w:rPr>
          <w:b/>
        </w:rPr>
        <w:t xml:space="preserve">Impeachment of plaintiff's title deeds</w:t>
      </w:r>
    </w:p>
    <w:p>
      <w:pPr>
        <w:jc w:val="both"/>
        <w:spacing w:before="100" w:after="100"/>
        <w:ind w:start="360"/>
        <w:ind w:firstLine="360"/>
      </w:pPr>
      <w:r>
        <w:rPr/>
      </w:r>
      <w:r>
        <w:rPr/>
      </w:r>
      <w:r>
        <w:t xml:space="preserve">In all actions respecting lands or any interest therein, a title deed offered in evidence may be impeached by the defendant as obtained by fraud, where the grantor, if a party, could impeach it, if the defendant has been in the open, peaceable and adverse possession of the premises for 20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§6712. Impeachment of plaintiff's title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§6712. Impeachment of plaintiff's title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§6712. IMPEACHMENT OF PLAINTIFF'S TITLE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