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§7155. Libel in Superior Court;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Libel in Superior Court;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§7155. LIBEL IN SUPERIOR COURT;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