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7212</w:t>
        <w:t xml:space="preserve">.  </w:t>
      </w:r>
      <w:r>
        <w:rPr>
          <w:b/>
        </w:rPr>
        <w:t xml:space="preserve">Tenant not to set up title of alien</w:t>
      </w:r>
    </w:p>
    <w:p>
      <w:pPr>
        <w:jc w:val="both"/>
        <w:spacing w:before="100" w:after="100"/>
        <w:ind w:start="360"/>
        <w:ind w:firstLine="360"/>
      </w:pPr>
      <w:r>
        <w:rPr/>
      </w:r>
      <w:r>
        <w:rPr/>
      </w:r>
      <w:r>
        <w:t xml:space="preserve">In such case, the defendant shall not avail himself of the title of an alien, or of a subject of another nation or sovereign, or of any other person, unless he shows that he is his tenant or agent.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§7212. Tenant not to set up title of alien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§7212. Tenant not to set up title of alien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§7212. TENANT NOT TO SET UP TITLE OF ALIEN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