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7213</w:t>
        <w:t xml:space="preserve">.  </w:t>
      </w:r>
      <w:r>
        <w:rPr>
          <w:b/>
        </w:rPr>
        <w:t xml:space="preserve">Prevailing defendant entitled to costs</w:t>
      </w:r>
    </w:p>
    <w:p>
      <w:pPr>
        <w:jc w:val="both"/>
        <w:spacing w:before="100" w:after="100"/>
        <w:ind w:start="360"/>
        <w:ind w:firstLine="360"/>
      </w:pPr>
      <w:r>
        <w:rPr/>
      </w:r>
      <w:r>
        <w:rPr/>
      </w:r>
      <w:r>
        <w:t xml:space="preserve">If on trial the defendant proves that he is such tenant or agent, or the legal owner of such estate, he shall recover his costs to be paid as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§7213. Prevailing defendant entitled to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§7213. Prevailing defendant entitled to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§7213. PREVAILING DEFENDANT ENTITLED TO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