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§7306. Disposal of money recovered for goods attached or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Disposal of money recovered for goods attached or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§7306. DISPOSAL OF MONEY RECOVERED FOR GOODS ATTACHED OR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