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7487</w:t>
        <w:t xml:space="preserve">.  </w:t>
      </w:r>
      <w:r>
        <w:rPr>
          <w:b/>
        </w:rPr>
        <w:t xml:space="preserve">Interest</w:t>
      </w:r>
    </w:p>
    <w:p>
      <w:pPr>
        <w:jc w:val="both"/>
        <w:spacing w:before="100" w:after="100"/>
        <w:ind w:start="360"/>
        <w:ind w:firstLine="360"/>
      </w:pPr>
      <w:r>
        <w:rPr/>
      </w:r>
      <w:r>
        <w:rPr/>
      </w:r>
      <w:r>
        <w:t xml:space="preserve">A person who is awarded a money judgment in a small claims action is entitled to post-judgment interest in accordance with </w:t>
      </w:r>
      <w:r>
        <w:t>section 1602‑C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109, §1 (NEW). PL 2003, c. 460,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§7487.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§7487.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§7487.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