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Remedy if tenant commits waste</w:t>
      </w:r>
    </w:p>
    <w:p>
      <w:pPr>
        <w:jc w:val="both"/>
        <w:spacing w:before="100" w:after="100"/>
        <w:ind w:start="360"/>
        <w:ind w:firstLine="360"/>
      </w:pPr>
      <w:r>
        <w:rPr/>
      </w:r>
      <w:r>
        <w:rPr/>
      </w:r>
      <w:r>
        <w:t xml:space="preserve">If a tenant in dower, by curtesy, for life or for years commits or suffers any waste on the premises, the person having the next immediate estate of inheritance may recover the place wasted and the damages done to the premises in an action against him. An heir may recover in the same action for waste done in his own time and in the time of his ancestor.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Remedy if tenant commits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Remedy if tenant commits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§7501. REMEDY IF TENANT COMMITS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