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Action by minister or sole corporation</w:t>
      </w:r>
    </w:p>
    <w:p>
      <w:pPr>
        <w:jc w:val="both"/>
        <w:spacing w:before="100" w:after="100"/>
        <w:ind w:start="360"/>
        <w:ind w:firstLine="360"/>
      </w:pPr>
      <w:r>
        <w:rPr/>
      </w:r>
      <w:r>
        <w:rPr/>
      </w:r>
      <w:r>
        <w:t xml:space="preserve">If a minister or other sole corporation is disseized, any of his successors may enter upon the premises or bring an action for their recovery at any time within 5 years after the death, resignation or removal of the person disseized, notwithstanding 20 years after disseizin have expired.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§806. Action by minister or sole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Action by minister or sole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§806. ACTION BY MINISTER OR SOLE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