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859</w:t>
        <w:t xml:space="preserve">.  </w:t>
      </w:r>
      <w:r>
        <w:rPr>
          <w:b/>
        </w:rPr>
        <w:t xml:space="preserve">Limitation extended in cases of fraud</w:t>
      </w:r>
    </w:p>
    <w:p>
      <w:pPr>
        <w:jc w:val="both"/>
        <w:spacing w:before="100" w:after="100"/>
        <w:ind w:start="360"/>
        <w:ind w:firstLine="360"/>
      </w:pPr>
      <w:r>
        <w:rPr/>
      </w:r>
      <w:r>
        <w:rPr/>
      </w:r>
      <w:r>
        <w:t xml:space="preserve">If a person, liable to any action mentioned, fraudulently conceals the cause thereof from the person entitled thereto, or if a fraud is committed which entitles any person to an action, the action may be commenced at any time within 6 years after the person entitled thereto discovers that he has just cause of action, except as provided in </w:t>
      </w:r>
      <w:r>
        <w:t>section 3580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§859. Limitation extended in cases of fraud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§859. Limitation extended in cases of fraud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§859. LIMITATION EXTENDED IN CASES OF FRAUD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