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RIGHTS OF SEXUAL ASSAULT SURVIVORS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Title 17-A,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Title 17-A,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521. RIGHTS OF SEXUAL ASSAULT SURVIVORS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